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4121F" w:rsidRDefault="0084121F" w:rsidP="0084121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2131060" cy="651510"/>
            <wp:effectExtent l="25400" t="0" r="254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</w:r>
      <w:r>
        <w:pict>
          <v:group id="_x0000_s1026" style="width:9pt;height:9pt;mso-position-horizontal-relative:char;mso-position-vertical-relative:line" coordorigin="-360,-360" coordsize="134,1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360;top:-360;width:134;height:12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4121F" w:rsidRDefault="0084121F" w:rsidP="0084121F"/>
    <w:p w:rsidR="0084121F" w:rsidRDefault="0084121F" w:rsidP="0084121F"/>
    <w:p w:rsidR="0084121F" w:rsidRPr="0076586B" w:rsidRDefault="0084121F" w:rsidP="0084121F">
      <w:pPr>
        <w:jc w:val="center"/>
        <w:rPr>
          <w:rFonts w:ascii="Baskerville" w:hAnsi="Baskerville" w:cs="Times-Bold"/>
          <w:b/>
          <w:bCs/>
          <w:smallCaps/>
          <w:color w:val="000080"/>
          <w:sz w:val="28"/>
          <w:szCs w:val="36"/>
        </w:rPr>
      </w:pPr>
      <w:r w:rsidRPr="0076586B">
        <w:rPr>
          <w:rFonts w:ascii="Baskerville" w:hAnsi="Baskerville" w:cs="Times-Bold"/>
          <w:b/>
          <w:bCs/>
          <w:smallCaps/>
          <w:color w:val="000080"/>
          <w:sz w:val="28"/>
          <w:szCs w:val="36"/>
        </w:rPr>
        <w:t xml:space="preserve">Scuola di Specializzazione per le Professioni Legali </w:t>
      </w:r>
    </w:p>
    <w:p w:rsidR="0084121F" w:rsidRPr="0076586B" w:rsidRDefault="0084121F" w:rsidP="0084121F">
      <w:pPr>
        <w:jc w:val="center"/>
        <w:rPr>
          <w:rFonts w:ascii="Baskerville" w:hAnsi="Baskerville" w:cs="Times-Bold"/>
          <w:b/>
          <w:bCs/>
          <w:smallCaps/>
          <w:color w:val="000080"/>
          <w:sz w:val="28"/>
          <w:szCs w:val="36"/>
        </w:rPr>
      </w:pPr>
      <w:r w:rsidRPr="0076586B">
        <w:rPr>
          <w:rFonts w:ascii="Baskerville" w:hAnsi="Baskerville" w:cs="Times-Bold"/>
          <w:b/>
          <w:bCs/>
          <w:smallCaps/>
          <w:color w:val="000080"/>
          <w:sz w:val="28"/>
          <w:szCs w:val="36"/>
        </w:rPr>
        <w:t>Anno I – ciclo VIII</w:t>
      </w:r>
    </w:p>
    <w:p w:rsidR="0084121F" w:rsidRPr="0076586B" w:rsidRDefault="0084121F" w:rsidP="0084121F">
      <w:pPr>
        <w:jc w:val="center"/>
        <w:rPr>
          <w:rFonts w:ascii="Baskerville" w:hAnsi="Baskerville" w:cs="Times-Bold"/>
          <w:b/>
          <w:bCs/>
          <w:smallCaps/>
          <w:color w:val="000080"/>
          <w:sz w:val="28"/>
          <w:szCs w:val="36"/>
        </w:rPr>
      </w:pPr>
      <w:r w:rsidRPr="0076586B">
        <w:rPr>
          <w:rFonts w:ascii="Baskerville" w:hAnsi="Baskerville" w:cs="Times-Bold"/>
          <w:b/>
          <w:bCs/>
          <w:smallCaps/>
          <w:color w:val="000080"/>
          <w:sz w:val="28"/>
          <w:szCs w:val="36"/>
        </w:rPr>
        <w:t>A.A. 2009/2010</w:t>
      </w:r>
    </w:p>
    <w:p w:rsidR="0084121F" w:rsidRPr="0076586B" w:rsidRDefault="0084121F" w:rsidP="0084121F">
      <w:pPr>
        <w:jc w:val="center"/>
        <w:rPr>
          <w:rFonts w:ascii="Baskerville" w:hAnsi="Baskerville" w:cs="Times-Bold"/>
          <w:b/>
          <w:bCs/>
          <w:smallCaps/>
          <w:color w:val="000080"/>
          <w:sz w:val="28"/>
          <w:szCs w:val="36"/>
        </w:rPr>
      </w:pPr>
    </w:p>
    <w:p w:rsidR="0084121F" w:rsidRPr="0076586B" w:rsidRDefault="0084121F" w:rsidP="0084121F">
      <w:pPr>
        <w:jc w:val="center"/>
        <w:rPr>
          <w:rFonts w:ascii="Baskerville" w:hAnsi="Baskerville" w:cs="Times-Bold"/>
          <w:b/>
          <w:bCs/>
          <w:smallCaps/>
          <w:color w:val="000080"/>
          <w:sz w:val="28"/>
          <w:szCs w:val="36"/>
        </w:rPr>
      </w:pPr>
      <w:r w:rsidRPr="0076586B">
        <w:rPr>
          <w:rFonts w:ascii="Baskerville" w:hAnsi="Baskerville" w:cs="Times-Bold"/>
          <w:b/>
          <w:bCs/>
          <w:smallCaps/>
          <w:color w:val="000080"/>
          <w:sz w:val="28"/>
          <w:szCs w:val="36"/>
        </w:rPr>
        <w:t xml:space="preserve">Programma di diritto processuale civile </w:t>
      </w:r>
    </w:p>
    <w:p w:rsidR="0084121F" w:rsidRPr="0076586B" w:rsidRDefault="0084121F" w:rsidP="0084121F">
      <w:pPr>
        <w:spacing w:line="360" w:lineRule="auto"/>
        <w:jc w:val="center"/>
        <w:rPr>
          <w:rFonts w:ascii="Baskerville" w:hAnsi="Baskerville" w:cs="Times-Bold"/>
          <w:b/>
          <w:bCs/>
          <w:color w:val="000080"/>
          <w:sz w:val="36"/>
          <w:szCs w:val="28"/>
          <w:vertAlign w:val="subscript"/>
        </w:rPr>
      </w:pPr>
      <w:proofErr w:type="gramStart"/>
      <w:r w:rsidRPr="0076586B">
        <w:rPr>
          <w:rFonts w:ascii="Baskerville" w:hAnsi="Baskerville" w:cs="Times-Bold"/>
          <w:b/>
          <w:bCs/>
          <w:color w:val="000080"/>
          <w:sz w:val="36"/>
          <w:szCs w:val="28"/>
          <w:vertAlign w:val="subscript"/>
        </w:rPr>
        <w:t>docente</w:t>
      </w:r>
      <w:proofErr w:type="gramEnd"/>
      <w:r w:rsidRPr="0076586B">
        <w:rPr>
          <w:rFonts w:ascii="Baskerville" w:hAnsi="Baskerville" w:cs="Times-Bold"/>
          <w:b/>
          <w:bCs/>
          <w:color w:val="000080"/>
          <w:sz w:val="36"/>
          <w:szCs w:val="28"/>
          <w:vertAlign w:val="subscript"/>
        </w:rPr>
        <w:t>: Avv. Giuseppe Lombardo</w:t>
      </w:r>
    </w:p>
    <w:p w:rsidR="0084121F" w:rsidRPr="0076586B" w:rsidRDefault="0084121F" w:rsidP="00585BBA">
      <w:pPr>
        <w:spacing w:line="360" w:lineRule="auto"/>
        <w:ind w:left="360"/>
        <w:rPr>
          <w:rFonts w:ascii="Baskerville" w:hAnsi="Baskerville"/>
          <w:b/>
          <w:bCs/>
          <w:color w:val="000080"/>
          <w:szCs w:val="28"/>
          <w:u w:val="single"/>
        </w:rPr>
      </w:pPr>
    </w:p>
    <w:p w:rsidR="009F1739" w:rsidRPr="0076586B" w:rsidRDefault="0084121F" w:rsidP="00785275">
      <w:pPr>
        <w:pStyle w:val="Paragrafoelenco"/>
        <w:numPr>
          <w:ilvl w:val="0"/>
          <w:numId w:val="10"/>
        </w:numPr>
        <w:spacing w:line="360" w:lineRule="auto"/>
        <w:rPr>
          <w:rFonts w:ascii="Baskerville" w:hAnsi="Baskerville"/>
          <w:b/>
          <w:szCs w:val="28"/>
        </w:rPr>
      </w:pPr>
      <w:r w:rsidRPr="0076586B">
        <w:rPr>
          <w:rFonts w:ascii="Baskerville" w:hAnsi="Baskerville"/>
          <w:b/>
          <w:szCs w:val="28"/>
        </w:rPr>
        <w:t>Teorie e prassi applicative</w:t>
      </w:r>
      <w:r w:rsidR="009F1739" w:rsidRPr="0076586B">
        <w:rPr>
          <w:rFonts w:ascii="Baskerville" w:hAnsi="Baskerville"/>
          <w:b/>
          <w:szCs w:val="28"/>
        </w:rPr>
        <w:t xml:space="preserve"> dell’estromissione processuale</w:t>
      </w:r>
      <w:r w:rsidR="00785275" w:rsidRPr="0076586B">
        <w:rPr>
          <w:rFonts w:ascii="Baskerville" w:hAnsi="Baskerville"/>
          <w:b/>
          <w:szCs w:val="28"/>
        </w:rPr>
        <w:t>.</w:t>
      </w:r>
    </w:p>
    <w:p w:rsidR="009F1739" w:rsidRPr="0076586B" w:rsidRDefault="008B77FB" w:rsidP="00585BBA">
      <w:pPr>
        <w:pStyle w:val="Paragrafoelenco"/>
        <w:numPr>
          <w:ilvl w:val="1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r w:rsidR="009F1739" w:rsidRPr="0076586B">
        <w:rPr>
          <w:rFonts w:ascii="Baskerville" w:hAnsi="Baskerville"/>
          <w:szCs w:val="28"/>
        </w:rPr>
        <w:t>L</w:t>
      </w:r>
      <w:r w:rsidR="00585BBA" w:rsidRPr="0076586B">
        <w:rPr>
          <w:rFonts w:ascii="Baskerville" w:hAnsi="Baskerville"/>
          <w:szCs w:val="28"/>
        </w:rPr>
        <w:t>’estr</w:t>
      </w:r>
      <w:r w:rsidR="009F1739" w:rsidRPr="0076586B">
        <w:rPr>
          <w:rFonts w:ascii="Baskerville" w:hAnsi="Baskerville"/>
          <w:szCs w:val="28"/>
        </w:rPr>
        <w:t>omissione del garantito</w:t>
      </w:r>
      <w:r w:rsidR="00546741" w:rsidRPr="0076586B">
        <w:rPr>
          <w:rFonts w:ascii="Baskerville" w:hAnsi="Baskerville"/>
          <w:szCs w:val="28"/>
        </w:rPr>
        <w:t xml:space="preserve"> </w:t>
      </w:r>
      <w:proofErr w:type="gramStart"/>
      <w:r w:rsidR="00546741" w:rsidRPr="0076586B">
        <w:rPr>
          <w:rFonts w:ascii="Baskerville" w:hAnsi="Baskerville"/>
          <w:szCs w:val="28"/>
        </w:rPr>
        <w:t>(</w:t>
      </w:r>
      <w:proofErr w:type="gramEnd"/>
      <w:r w:rsidR="00546741" w:rsidRPr="0076586B">
        <w:rPr>
          <w:rFonts w:ascii="Baskerville" w:hAnsi="Baskerville"/>
          <w:szCs w:val="28"/>
        </w:rPr>
        <w:t xml:space="preserve">art. 108 </w:t>
      </w:r>
      <w:proofErr w:type="spellStart"/>
      <w:r w:rsidR="00546741" w:rsidRPr="0076586B">
        <w:rPr>
          <w:rFonts w:ascii="Baskerville" w:hAnsi="Baskerville"/>
          <w:szCs w:val="28"/>
        </w:rPr>
        <w:t>c.p.c.</w:t>
      </w:r>
      <w:proofErr w:type="spellEnd"/>
      <w:proofErr w:type="gramStart"/>
      <w:r w:rsidR="00546741" w:rsidRPr="0076586B">
        <w:rPr>
          <w:rFonts w:ascii="Baskerville" w:hAnsi="Baskerville"/>
          <w:szCs w:val="28"/>
        </w:rPr>
        <w:t>)</w:t>
      </w:r>
      <w:proofErr w:type="gramEnd"/>
      <w:r w:rsidR="008E0F30" w:rsidRPr="0076586B">
        <w:rPr>
          <w:rFonts w:ascii="Baskerville" w:hAnsi="Baskerville"/>
          <w:szCs w:val="28"/>
        </w:rPr>
        <w:t>.</w:t>
      </w:r>
    </w:p>
    <w:p w:rsidR="00546741" w:rsidRPr="0076586B" w:rsidRDefault="008B77FB" w:rsidP="00585BBA">
      <w:pPr>
        <w:pStyle w:val="Paragrafoelenco"/>
        <w:numPr>
          <w:ilvl w:val="2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r w:rsidR="009F1739" w:rsidRPr="0076586B">
        <w:rPr>
          <w:rFonts w:ascii="Baskerville" w:hAnsi="Baskerville"/>
          <w:szCs w:val="28"/>
        </w:rPr>
        <w:t>Fenomeno, presupposti, disciplina, limiti</w:t>
      </w:r>
      <w:r w:rsidR="008E0F30" w:rsidRPr="0076586B">
        <w:rPr>
          <w:rFonts w:ascii="Baskerville" w:hAnsi="Baskerville"/>
          <w:szCs w:val="28"/>
        </w:rPr>
        <w:t>.</w:t>
      </w:r>
    </w:p>
    <w:p w:rsidR="00546741" w:rsidRPr="0076586B" w:rsidRDefault="008B77FB" w:rsidP="00585BBA">
      <w:pPr>
        <w:pStyle w:val="Paragrafoelenco"/>
        <w:numPr>
          <w:ilvl w:val="2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proofErr w:type="gramStart"/>
      <w:r w:rsidR="00546741" w:rsidRPr="0076586B">
        <w:rPr>
          <w:rFonts w:ascii="Baskerville" w:hAnsi="Baskerville"/>
          <w:szCs w:val="28"/>
        </w:rPr>
        <w:t>Modalità</w:t>
      </w:r>
      <w:proofErr w:type="gramEnd"/>
      <w:r w:rsidR="00546741" w:rsidRPr="0076586B">
        <w:rPr>
          <w:rFonts w:ascii="Baskerville" w:hAnsi="Baskerville"/>
          <w:szCs w:val="28"/>
        </w:rPr>
        <w:t xml:space="preserve"> </w:t>
      </w:r>
      <w:r w:rsidR="00E623B4" w:rsidRPr="0076586B">
        <w:rPr>
          <w:rFonts w:ascii="Baskerville" w:hAnsi="Baskerville"/>
          <w:szCs w:val="28"/>
        </w:rPr>
        <w:t xml:space="preserve">applicative </w:t>
      </w:r>
      <w:r w:rsidR="00546741" w:rsidRPr="0076586B">
        <w:rPr>
          <w:rFonts w:ascii="Baskerville" w:hAnsi="Baskerville"/>
          <w:szCs w:val="28"/>
        </w:rPr>
        <w:t>ed effetti processuali.</w:t>
      </w:r>
    </w:p>
    <w:p w:rsidR="008E0F30" w:rsidRPr="0076586B" w:rsidRDefault="008B77FB" w:rsidP="00585BBA">
      <w:pPr>
        <w:pStyle w:val="Paragrafoelenco"/>
        <w:numPr>
          <w:ilvl w:val="1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r w:rsidR="00546741" w:rsidRPr="0076586B">
        <w:rPr>
          <w:rFonts w:ascii="Baskerville" w:hAnsi="Baskerville"/>
          <w:szCs w:val="28"/>
        </w:rPr>
        <w:t>L’estromissione dell’obbligato (art.109</w:t>
      </w:r>
      <w:r w:rsidR="008E0F30" w:rsidRPr="0076586B">
        <w:rPr>
          <w:rFonts w:ascii="Baskerville" w:hAnsi="Baskerville"/>
          <w:szCs w:val="28"/>
        </w:rPr>
        <w:t xml:space="preserve"> </w:t>
      </w:r>
      <w:proofErr w:type="spellStart"/>
      <w:r w:rsidR="008E0F30" w:rsidRPr="0076586B">
        <w:rPr>
          <w:rFonts w:ascii="Baskerville" w:hAnsi="Baskerville"/>
          <w:szCs w:val="28"/>
        </w:rPr>
        <w:t>c.p.c.</w:t>
      </w:r>
      <w:proofErr w:type="spellEnd"/>
      <w:r w:rsidR="008E0F30" w:rsidRPr="0076586B">
        <w:rPr>
          <w:rFonts w:ascii="Baskerville" w:hAnsi="Baskerville"/>
          <w:szCs w:val="28"/>
        </w:rPr>
        <w:t>).</w:t>
      </w:r>
    </w:p>
    <w:p w:rsidR="00BD079E" w:rsidRPr="0076586B" w:rsidRDefault="008B77FB" w:rsidP="00585BBA">
      <w:pPr>
        <w:pStyle w:val="Paragrafoelenco"/>
        <w:numPr>
          <w:ilvl w:val="2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r w:rsidR="008E0F30" w:rsidRPr="0076586B">
        <w:rPr>
          <w:rFonts w:ascii="Baskerville" w:hAnsi="Baskerville"/>
          <w:szCs w:val="28"/>
        </w:rPr>
        <w:t>Ambito applicativo</w:t>
      </w:r>
      <w:r w:rsidR="00BD079E" w:rsidRPr="0076586B">
        <w:rPr>
          <w:rFonts w:ascii="Baskerville" w:hAnsi="Baskerville"/>
          <w:szCs w:val="28"/>
        </w:rPr>
        <w:t>.</w:t>
      </w:r>
    </w:p>
    <w:p w:rsidR="00785275" w:rsidRPr="0076586B" w:rsidRDefault="008B77FB" w:rsidP="00585BBA">
      <w:pPr>
        <w:pStyle w:val="Paragrafoelenco"/>
        <w:numPr>
          <w:ilvl w:val="2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r w:rsidR="00BD079E" w:rsidRPr="0076586B">
        <w:rPr>
          <w:rFonts w:ascii="Baskerville" w:hAnsi="Baskerville"/>
          <w:szCs w:val="28"/>
        </w:rPr>
        <w:t>Analisi dottrinaria e giurisprudenziale.</w:t>
      </w:r>
    </w:p>
    <w:p w:rsidR="00BD079E" w:rsidRPr="0076586B" w:rsidRDefault="00BD079E" w:rsidP="00785275">
      <w:pPr>
        <w:spacing w:line="360" w:lineRule="auto"/>
        <w:ind w:left="-142"/>
        <w:rPr>
          <w:rFonts w:ascii="Baskerville" w:hAnsi="Baskerville"/>
          <w:szCs w:val="28"/>
        </w:rPr>
      </w:pPr>
    </w:p>
    <w:p w:rsidR="00BD079E" w:rsidRPr="0076586B" w:rsidRDefault="00BD079E" w:rsidP="00E623B4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Baskerville" w:hAnsi="Baskerville"/>
          <w:b/>
          <w:szCs w:val="28"/>
        </w:rPr>
      </w:pPr>
      <w:r w:rsidRPr="0076586B">
        <w:rPr>
          <w:rFonts w:ascii="Baskerville" w:hAnsi="Baskerville"/>
          <w:b/>
          <w:szCs w:val="28"/>
        </w:rPr>
        <w:t>Il fenomeno succes</w:t>
      </w:r>
      <w:r w:rsidR="00E623B4" w:rsidRPr="0076586B">
        <w:rPr>
          <w:rFonts w:ascii="Baskerville" w:hAnsi="Baskerville"/>
          <w:b/>
          <w:szCs w:val="28"/>
        </w:rPr>
        <w:t xml:space="preserve">sorio nel processo civile con </w:t>
      </w:r>
      <w:r w:rsidRPr="0076586B">
        <w:rPr>
          <w:rFonts w:ascii="Baskerville" w:hAnsi="Baskerville"/>
          <w:b/>
          <w:szCs w:val="28"/>
        </w:rPr>
        <w:t>particolare riguardo agli Enti.</w:t>
      </w:r>
    </w:p>
    <w:p w:rsidR="000E7BE2" w:rsidRPr="0076586B" w:rsidRDefault="008B77FB" w:rsidP="00585BBA">
      <w:pPr>
        <w:pStyle w:val="Paragrafoelenco"/>
        <w:numPr>
          <w:ilvl w:val="1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r w:rsidR="000E7BE2" w:rsidRPr="0076586B">
        <w:rPr>
          <w:rFonts w:ascii="Baskerville" w:hAnsi="Baskerville"/>
          <w:szCs w:val="28"/>
        </w:rPr>
        <w:t xml:space="preserve">La successione nel processo (art.110 </w:t>
      </w:r>
      <w:proofErr w:type="spellStart"/>
      <w:r w:rsidR="000E7BE2" w:rsidRPr="0076586B">
        <w:rPr>
          <w:rFonts w:ascii="Baskerville" w:hAnsi="Baskerville"/>
          <w:szCs w:val="28"/>
        </w:rPr>
        <w:t>c.p.c.</w:t>
      </w:r>
      <w:proofErr w:type="spellEnd"/>
      <w:r w:rsidR="000E7BE2" w:rsidRPr="0076586B">
        <w:rPr>
          <w:rFonts w:ascii="Baskerville" w:hAnsi="Baskerville"/>
          <w:szCs w:val="28"/>
        </w:rPr>
        <w:t>)</w:t>
      </w:r>
      <w:r w:rsidR="00785275" w:rsidRPr="0076586B">
        <w:rPr>
          <w:rFonts w:ascii="Baskerville" w:hAnsi="Baskerville"/>
          <w:szCs w:val="28"/>
        </w:rPr>
        <w:t>:</w:t>
      </w:r>
    </w:p>
    <w:p w:rsidR="000E7BE2" w:rsidRPr="0076586B" w:rsidRDefault="008B77FB" w:rsidP="00585BBA">
      <w:pPr>
        <w:pStyle w:val="Paragrafoelenco"/>
        <w:numPr>
          <w:ilvl w:val="2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proofErr w:type="gramStart"/>
      <w:r w:rsidR="00BD079E" w:rsidRPr="0076586B">
        <w:rPr>
          <w:rFonts w:ascii="Baskerville" w:hAnsi="Baskerville"/>
          <w:szCs w:val="28"/>
        </w:rPr>
        <w:t>La successione nel processo di cognizione, nel processo di esecuzione, nei procedimenti speciali, nel processo arbitrale</w:t>
      </w:r>
      <w:r w:rsidR="00783924" w:rsidRPr="0076586B">
        <w:rPr>
          <w:rFonts w:ascii="Baskerville" w:hAnsi="Baskerville"/>
          <w:szCs w:val="28"/>
        </w:rPr>
        <w:t>.</w:t>
      </w:r>
      <w:proofErr w:type="gramEnd"/>
    </w:p>
    <w:p w:rsidR="00BD079E" w:rsidRPr="0076586B" w:rsidRDefault="000E7BE2" w:rsidP="00585BBA">
      <w:pPr>
        <w:pStyle w:val="Paragrafoelenco"/>
        <w:numPr>
          <w:ilvl w:val="2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r w:rsidR="008B77FB" w:rsidRPr="0076586B">
        <w:rPr>
          <w:rFonts w:ascii="Baskerville" w:hAnsi="Baskerville"/>
          <w:szCs w:val="28"/>
        </w:rPr>
        <w:t xml:space="preserve"> </w:t>
      </w:r>
      <w:r w:rsidRPr="0076586B">
        <w:rPr>
          <w:rFonts w:ascii="Baskerville" w:hAnsi="Baskerville"/>
          <w:szCs w:val="28"/>
        </w:rPr>
        <w:t xml:space="preserve">Il venir meno </w:t>
      </w:r>
      <w:r w:rsidR="00783924" w:rsidRPr="0076586B">
        <w:rPr>
          <w:rFonts w:ascii="Baskerville" w:hAnsi="Baskerville"/>
          <w:szCs w:val="28"/>
        </w:rPr>
        <w:t>della persona fisica.</w:t>
      </w:r>
    </w:p>
    <w:p w:rsidR="00585BBA" w:rsidRPr="0076586B" w:rsidRDefault="008B77FB" w:rsidP="00585BBA">
      <w:pPr>
        <w:pStyle w:val="Paragrafoelenco"/>
        <w:numPr>
          <w:ilvl w:val="2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r w:rsidR="000E7BE2" w:rsidRPr="0076586B">
        <w:rPr>
          <w:rFonts w:ascii="Baskerville" w:hAnsi="Baskerville"/>
          <w:szCs w:val="28"/>
        </w:rPr>
        <w:t xml:space="preserve"> </w:t>
      </w:r>
      <w:r w:rsidR="00BD079E" w:rsidRPr="0076586B">
        <w:rPr>
          <w:rFonts w:ascii="Baskerville" w:hAnsi="Baskerville"/>
          <w:szCs w:val="28"/>
        </w:rPr>
        <w:t xml:space="preserve">L’estinzione della persona </w:t>
      </w:r>
      <w:r w:rsidR="00783924" w:rsidRPr="0076586B">
        <w:rPr>
          <w:rFonts w:ascii="Baskerville" w:hAnsi="Baskerville"/>
          <w:szCs w:val="28"/>
        </w:rPr>
        <w:t>giuridica</w:t>
      </w:r>
      <w:r w:rsidRPr="0076586B">
        <w:rPr>
          <w:rFonts w:ascii="Baskerville" w:hAnsi="Baskerville"/>
          <w:szCs w:val="28"/>
        </w:rPr>
        <w:t>.</w:t>
      </w:r>
    </w:p>
    <w:p w:rsidR="00F00286" w:rsidRPr="0076586B" w:rsidRDefault="008B77FB" w:rsidP="00585BBA">
      <w:pPr>
        <w:pStyle w:val="Paragrafoelenco"/>
        <w:numPr>
          <w:ilvl w:val="3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L</w:t>
      </w:r>
      <w:r w:rsidR="00585BBA" w:rsidRPr="0076586B">
        <w:rPr>
          <w:rFonts w:ascii="Baskerville" w:hAnsi="Baskerville"/>
          <w:szCs w:val="28"/>
        </w:rPr>
        <w:t>a fusione per incorporazione e per unione</w:t>
      </w:r>
      <w:r w:rsidRPr="0076586B">
        <w:rPr>
          <w:rFonts w:ascii="Baskerville" w:hAnsi="Baskerville"/>
          <w:szCs w:val="28"/>
        </w:rPr>
        <w:t>.</w:t>
      </w:r>
    </w:p>
    <w:p w:rsidR="00F00286" w:rsidRPr="0076586B" w:rsidRDefault="008B77FB" w:rsidP="00585BBA">
      <w:pPr>
        <w:pStyle w:val="Paragrafoelenco"/>
        <w:numPr>
          <w:ilvl w:val="3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La scissione totale e parziale.</w:t>
      </w:r>
    </w:p>
    <w:p w:rsidR="00783924" w:rsidRPr="0076586B" w:rsidRDefault="00F00286" w:rsidP="00585BBA">
      <w:pPr>
        <w:pStyle w:val="Paragrafoelenco"/>
        <w:numPr>
          <w:ilvl w:val="3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r w:rsidR="008B77FB" w:rsidRPr="0076586B">
        <w:rPr>
          <w:rFonts w:ascii="Baskerville" w:hAnsi="Baskerville"/>
          <w:szCs w:val="28"/>
        </w:rPr>
        <w:t xml:space="preserve"> </w:t>
      </w:r>
      <w:proofErr w:type="gramStart"/>
      <w:r w:rsidR="008B77FB" w:rsidRPr="0076586B">
        <w:rPr>
          <w:rFonts w:ascii="Baskerville" w:hAnsi="Baskerville"/>
          <w:szCs w:val="28"/>
        </w:rPr>
        <w:t>I</w:t>
      </w:r>
      <w:r w:rsidRPr="0076586B">
        <w:rPr>
          <w:rFonts w:ascii="Baskerville" w:hAnsi="Baskerville"/>
          <w:szCs w:val="28"/>
        </w:rPr>
        <w:t xml:space="preserve"> fenomeni di mutamento di denominazione sociale, di trasformazione dell’organizzazione, di modificazione del tipo sociale, di trasferimento</w:t>
      </w:r>
      <w:proofErr w:type="gramEnd"/>
      <w:r w:rsidRPr="0076586B">
        <w:rPr>
          <w:rFonts w:ascii="Baskerville" w:hAnsi="Baskerville"/>
          <w:szCs w:val="28"/>
        </w:rPr>
        <w:t xml:space="preserve"> del pacchetto azionario, della liquidazione delle società.</w:t>
      </w:r>
    </w:p>
    <w:p w:rsidR="00585BBA" w:rsidRPr="0076586B" w:rsidRDefault="008B77FB" w:rsidP="00585BBA">
      <w:pPr>
        <w:pStyle w:val="Paragrafoelenco"/>
        <w:numPr>
          <w:ilvl w:val="1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r w:rsidR="000E7BE2" w:rsidRPr="0076586B">
        <w:rPr>
          <w:rFonts w:ascii="Baskerville" w:hAnsi="Baskerville"/>
          <w:szCs w:val="28"/>
        </w:rPr>
        <w:t xml:space="preserve">Successione a titolo particolare nel diritto controverso (art.111 </w:t>
      </w:r>
      <w:proofErr w:type="spellStart"/>
      <w:r w:rsidR="000E7BE2" w:rsidRPr="0076586B">
        <w:rPr>
          <w:rFonts w:ascii="Baskerville" w:hAnsi="Baskerville"/>
          <w:szCs w:val="28"/>
        </w:rPr>
        <w:t>c.p.c.</w:t>
      </w:r>
      <w:proofErr w:type="spellEnd"/>
      <w:r w:rsidR="000E7BE2" w:rsidRPr="0076586B">
        <w:rPr>
          <w:rFonts w:ascii="Baskerville" w:hAnsi="Baskerville"/>
          <w:szCs w:val="28"/>
        </w:rPr>
        <w:t>)</w:t>
      </w:r>
      <w:r w:rsidR="00585BBA" w:rsidRPr="0076586B">
        <w:rPr>
          <w:rFonts w:ascii="Baskerville" w:hAnsi="Baskerville"/>
          <w:szCs w:val="28"/>
        </w:rPr>
        <w:t>.</w:t>
      </w:r>
    </w:p>
    <w:p w:rsidR="00585BBA" w:rsidRPr="0076586B" w:rsidRDefault="008B77FB" w:rsidP="00585BBA">
      <w:pPr>
        <w:pStyle w:val="Paragrafoelenco"/>
        <w:numPr>
          <w:ilvl w:val="2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r w:rsidR="00585BBA" w:rsidRPr="0076586B">
        <w:rPr>
          <w:rFonts w:ascii="Baskerville" w:hAnsi="Baskerville"/>
          <w:szCs w:val="28"/>
        </w:rPr>
        <w:t>I mutamenti soggettivi nell’ambito di un rapporto giuridicamente rilevante.</w:t>
      </w:r>
    </w:p>
    <w:p w:rsidR="00585BBA" w:rsidRPr="0076586B" w:rsidRDefault="008B77FB" w:rsidP="00585BBA">
      <w:pPr>
        <w:pStyle w:val="Paragrafoelenco"/>
        <w:numPr>
          <w:ilvl w:val="2"/>
          <w:numId w:val="10"/>
        </w:num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  <w:r w:rsidR="00785275" w:rsidRPr="0076586B">
        <w:rPr>
          <w:rFonts w:ascii="Baskerville" w:hAnsi="Baskerville"/>
          <w:szCs w:val="28"/>
        </w:rPr>
        <w:t>Gli Enti Pubblici.</w:t>
      </w:r>
    </w:p>
    <w:p w:rsidR="0084121F" w:rsidRPr="0076586B" w:rsidRDefault="00BD079E" w:rsidP="00585BBA">
      <w:pPr>
        <w:spacing w:line="360" w:lineRule="auto"/>
        <w:rPr>
          <w:rFonts w:ascii="Baskerville" w:hAnsi="Baskerville"/>
          <w:szCs w:val="28"/>
        </w:rPr>
      </w:pPr>
      <w:r w:rsidRPr="0076586B">
        <w:rPr>
          <w:rFonts w:ascii="Baskerville" w:hAnsi="Baskerville"/>
          <w:szCs w:val="28"/>
        </w:rPr>
        <w:t xml:space="preserve"> </w:t>
      </w:r>
    </w:p>
    <w:p w:rsidR="0084121F" w:rsidRPr="0076586B" w:rsidRDefault="0084121F" w:rsidP="00585BBA">
      <w:pPr>
        <w:spacing w:line="360" w:lineRule="auto"/>
        <w:rPr>
          <w:rFonts w:ascii="Baskerville" w:hAnsi="Baskerville"/>
          <w:szCs w:val="28"/>
        </w:rPr>
      </w:pPr>
    </w:p>
    <w:sectPr w:rsidR="0084121F" w:rsidRPr="0076586B" w:rsidSect="00E623B4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AF5"/>
    <w:multiLevelType w:val="hybridMultilevel"/>
    <w:tmpl w:val="BB7E4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52A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EF244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4A3395"/>
    <w:multiLevelType w:val="hybridMultilevel"/>
    <w:tmpl w:val="1D165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175AE"/>
    <w:multiLevelType w:val="multilevel"/>
    <w:tmpl w:val="1D165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D0D89"/>
    <w:multiLevelType w:val="multilevel"/>
    <w:tmpl w:val="BB7E4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25BB8"/>
    <w:multiLevelType w:val="multilevel"/>
    <w:tmpl w:val="C776A9E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FF794C"/>
    <w:multiLevelType w:val="multilevel"/>
    <w:tmpl w:val="36C22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02492"/>
    <w:multiLevelType w:val="hybridMultilevel"/>
    <w:tmpl w:val="36C22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947A9"/>
    <w:multiLevelType w:val="hybridMultilevel"/>
    <w:tmpl w:val="C0A657E6"/>
    <w:lvl w:ilvl="0" w:tplc="C6EE456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0792A"/>
    <w:multiLevelType w:val="multilevel"/>
    <w:tmpl w:val="349A5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F1C8A"/>
    <w:multiLevelType w:val="hybridMultilevel"/>
    <w:tmpl w:val="349A5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440D3"/>
    <w:multiLevelType w:val="multilevel"/>
    <w:tmpl w:val="BDA877C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2A1674E"/>
    <w:multiLevelType w:val="hybridMultilevel"/>
    <w:tmpl w:val="CF103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6438D"/>
    <w:multiLevelType w:val="hybridMultilevel"/>
    <w:tmpl w:val="69B83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21E49"/>
    <w:multiLevelType w:val="hybridMultilevel"/>
    <w:tmpl w:val="0DC22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121F"/>
    <w:rsid w:val="000E7BE2"/>
    <w:rsid w:val="00546741"/>
    <w:rsid w:val="00585BBA"/>
    <w:rsid w:val="0076586B"/>
    <w:rsid w:val="00782F1E"/>
    <w:rsid w:val="00783924"/>
    <w:rsid w:val="00785275"/>
    <w:rsid w:val="0084121F"/>
    <w:rsid w:val="008B77FB"/>
    <w:rsid w:val="008E0F30"/>
    <w:rsid w:val="009F1739"/>
    <w:rsid w:val="00BD079E"/>
    <w:rsid w:val="00E623B4"/>
    <w:rsid w:val="00F0028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21F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841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1067</Characters>
  <Application>Microsoft Macintosh Word</Application>
  <DocSecurity>0</DocSecurity>
  <Lines>8</Lines>
  <Paragraphs>2</Paragraphs>
  <ScaleCrop>false</ScaleCrop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Lombardo</dc:creator>
  <cp:keywords/>
  <cp:lastModifiedBy>Giuseppe Lombardo</cp:lastModifiedBy>
  <cp:revision>2</cp:revision>
  <cp:lastPrinted>2010-06-03T11:50:00Z</cp:lastPrinted>
  <dcterms:created xsi:type="dcterms:W3CDTF">2010-06-03T10:58:00Z</dcterms:created>
  <dcterms:modified xsi:type="dcterms:W3CDTF">2010-06-03T11:50:00Z</dcterms:modified>
</cp:coreProperties>
</file>